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527B04" w:rsidRPr="00527B04">
        <w:rPr>
          <w:rFonts w:ascii="Verdana" w:hAnsi="Verdana"/>
          <w:b/>
          <w:sz w:val="18"/>
          <w:szCs w:val="18"/>
          <w:lang w:val="en-US"/>
        </w:rPr>
        <w:t>Oprava zabezpečení a výstroje trati Frýdlant nad Ostravicí - Ostravice</w:t>
      </w:r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</w:t>
      </w:r>
      <w:bookmarkStart w:id="0" w:name="_GoBack"/>
      <w:bookmarkEnd w:id="0"/>
      <w:r w:rsidR="00B45700" w:rsidRPr="00B45700">
        <w:rPr>
          <w:rFonts w:ascii="Verdana" w:hAnsi="Verdana"/>
          <w:sz w:val="18"/>
          <w:szCs w:val="18"/>
        </w:rPr>
        <w:t>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27B0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27B0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27B04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3004A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27B04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29A29695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CCA4984-D727-4E56-AD50-AD0412408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111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13</cp:revision>
  <cp:lastPrinted>2016-08-01T07:54:00Z</cp:lastPrinted>
  <dcterms:created xsi:type="dcterms:W3CDTF">2020-02-19T06:26:00Z</dcterms:created>
  <dcterms:modified xsi:type="dcterms:W3CDTF">2021-03-16T07:12:00Z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